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64C431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06F97">
        <w:rPr>
          <w:bCs/>
          <w:noProof w:val="0"/>
          <w:sz w:val="24"/>
          <w:szCs w:val="24"/>
        </w:rPr>
        <w:t>07275</w:t>
      </w:r>
    </w:p>
    <w:p w14:paraId="11776FA6" w14:textId="4B88B2C1"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w:t>
      </w:r>
      <w:r w:rsidR="00C06F97" w:rsidRPr="00C06F97">
        <w:rPr>
          <w:rFonts w:eastAsia="SimSun"/>
          <w:bCs/>
          <w:sz w:val="24"/>
          <w:szCs w:val="24"/>
          <w:vertAlign w:val="superscript"/>
          <w:lang w:eastAsia="zh-CN"/>
        </w:rPr>
        <w:t>th</w:t>
      </w:r>
      <w:r w:rsidR="00C06F97">
        <w:rPr>
          <w:rFonts w:eastAsia="SimSun"/>
          <w:bCs/>
          <w:sz w:val="24"/>
          <w:szCs w:val="24"/>
          <w:lang w:eastAsia="zh-CN"/>
        </w:rPr>
        <w:t xml:space="preserve"> </w:t>
      </w:r>
      <w:r w:rsidRPr="00094568">
        <w:rPr>
          <w:rFonts w:eastAsia="SimSun"/>
          <w:bCs/>
          <w:sz w:val="24"/>
          <w:szCs w:val="24"/>
          <w:lang w:eastAsia="zh-CN"/>
        </w:rPr>
        <w:t xml:space="preserve"> – 17</w:t>
      </w:r>
      <w:r w:rsidR="00C06F97" w:rsidRPr="00C06F97">
        <w:rPr>
          <w:rFonts w:eastAsia="SimSun"/>
          <w:bCs/>
          <w:sz w:val="24"/>
          <w:szCs w:val="24"/>
          <w:vertAlign w:val="superscript"/>
          <w:lang w:eastAsia="zh-CN"/>
        </w:rPr>
        <w:t>th</w:t>
      </w:r>
      <w:r w:rsidR="00C06F97">
        <w:rPr>
          <w:rFonts w:eastAsia="SimSun"/>
          <w:bCs/>
          <w:sz w:val="24"/>
          <w:szCs w:val="24"/>
          <w:lang w:eastAsia="zh-CN"/>
        </w:rPr>
        <w:t xml:space="preserve"> </w:t>
      </w:r>
      <w:bookmarkStart w:id="0" w:name="_GoBack"/>
      <w:bookmarkEnd w:id="0"/>
      <w:r w:rsidR="00C06F97">
        <w:rPr>
          <w:rFonts w:eastAsia="SimSun"/>
          <w:bCs/>
          <w:sz w:val="24"/>
          <w:szCs w:val="24"/>
          <w:lang w:eastAsia="zh-CN"/>
        </w:rPr>
        <w:t>of</w:t>
      </w:r>
      <w:r w:rsidRPr="00094568">
        <w:rPr>
          <w:rFonts w:eastAsia="SimSun"/>
          <w:bCs/>
          <w:sz w:val="24"/>
          <w:szCs w:val="24"/>
          <w:lang w:eastAsia="zh-CN"/>
        </w:rPr>
        <w:t xml:space="preserve">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9BD13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7114">
        <w:rPr>
          <w:rFonts w:cs="Arial"/>
          <w:b/>
          <w:bCs/>
          <w:sz w:val="24"/>
          <w:lang w:eastAsia="ja-JP"/>
        </w:rPr>
        <w:t>12.3.3.</w:t>
      </w:r>
      <w:r w:rsidR="001B1FC8">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B6141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1FC8">
        <w:rPr>
          <w:rFonts w:ascii="Arial" w:hAnsi="Arial" w:cs="Arial"/>
          <w:b/>
          <w:bCs/>
          <w:sz w:val="24"/>
        </w:rPr>
        <w:t xml:space="preserve">Conditional Handover in E-UTRAN – </w:t>
      </w:r>
      <w:r w:rsidR="00400E30">
        <w:rPr>
          <w:rFonts w:ascii="Arial" w:hAnsi="Arial" w:cs="Arial"/>
          <w:b/>
          <w:bCs/>
          <w:sz w:val="24"/>
        </w:rPr>
        <w:t xml:space="preserve">simultaneous expiry, </w:t>
      </w:r>
      <w:r w:rsidR="001B1FC8">
        <w:rPr>
          <w:rFonts w:ascii="Arial" w:hAnsi="Arial" w:cs="Arial"/>
          <w:b/>
          <w:bCs/>
          <w:sz w:val="24"/>
        </w:rPr>
        <w:t>timers and RRC configuration</w:t>
      </w:r>
    </w:p>
    <w:p w14:paraId="1F147C23" w14:textId="1417C17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27114" w:rsidRPr="00827114">
        <w:rPr>
          <w:rFonts w:ascii="Arial" w:hAnsi="Arial" w:cs="Arial"/>
          <w:b/>
          <w:bCs/>
          <w:sz w:val="24"/>
        </w:rPr>
        <w:t>LTE_feMob-Core</w:t>
      </w:r>
      <w:r w:rsidR="00827114" w:rsidRPr="00827114" w:rsidDel="00827114">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F4A5B6B" w:rsidR="00A209D6" w:rsidRDefault="00EC2EAE" w:rsidP="00A209D6">
      <w:r>
        <w:t>The following agreements and FFSs regarding CHO in LTE have been listed</w:t>
      </w:r>
      <w:r w:rsidR="00C038F3">
        <w:t xml:space="preserve"> </w:t>
      </w:r>
      <w:r w:rsidR="00C038F3">
        <w:fldChar w:fldCharType="begin"/>
      </w:r>
      <w:r w:rsidR="00C038F3">
        <w:instrText xml:space="preserve"> REF _Ref7687119 \r \h </w:instrText>
      </w:r>
      <w:r w:rsidR="00C038F3">
        <w:fldChar w:fldCharType="separate"/>
      </w:r>
      <w:r w:rsidR="00C038F3">
        <w:t>[1]</w:t>
      </w:r>
      <w:r w:rsidR="00C038F3">
        <w:fldChar w:fldCharType="end"/>
      </w:r>
      <w:r>
        <w:t>:</w:t>
      </w:r>
    </w:p>
    <w:tbl>
      <w:tblPr>
        <w:tblStyle w:val="TableGrid"/>
        <w:tblW w:w="0" w:type="auto"/>
        <w:tblLook w:val="04A0" w:firstRow="1" w:lastRow="0" w:firstColumn="1" w:lastColumn="0" w:noHBand="0" w:noVBand="1"/>
      </w:tblPr>
      <w:tblGrid>
        <w:gridCol w:w="9631"/>
      </w:tblGrid>
      <w:tr w:rsidR="003A1632" w14:paraId="7AF9E0C2" w14:textId="77777777" w:rsidTr="003A1632">
        <w:tc>
          <w:tcPr>
            <w:tcW w:w="9631" w:type="dxa"/>
          </w:tcPr>
          <w:p w14:paraId="7C47A909" w14:textId="77777777" w:rsidR="003A1632" w:rsidRPr="003A1632" w:rsidRDefault="003A1632" w:rsidP="003A1632">
            <w:pPr>
              <w:rPr>
                <w:lang w:val="en-US"/>
              </w:rPr>
            </w:pPr>
            <w:r w:rsidRPr="003A1632">
              <w:t xml:space="preserve">The CHO command contains at least the configuration information of target cell(s) and triggering conditions. </w:t>
            </w:r>
          </w:p>
          <w:p w14:paraId="642CB062" w14:textId="77777777" w:rsidR="003A1632" w:rsidRPr="003A1632" w:rsidRDefault="003A1632" w:rsidP="003A1632">
            <w:pPr>
              <w:rPr>
                <w:lang w:val="en-US"/>
              </w:rPr>
            </w:pPr>
            <w:r w:rsidRPr="003A1632">
              <w:t>=&gt; FFS who decides the triggering conditions (source, target or source+target)</w:t>
            </w:r>
          </w:p>
          <w:p w14:paraId="21779205" w14:textId="77777777" w:rsidR="003A1632" w:rsidRPr="003A1632" w:rsidRDefault="003A1632" w:rsidP="003A1632">
            <w:pPr>
              <w:rPr>
                <w:lang w:val="en-US"/>
              </w:rPr>
            </w:pPr>
            <w:r w:rsidRPr="003A1632">
              <w:t>=&gt; FFS on transparent containers.</w:t>
            </w:r>
          </w:p>
          <w:p w14:paraId="03298B4F" w14:textId="77777777" w:rsidR="003A1632" w:rsidRPr="003A1632" w:rsidRDefault="003A1632" w:rsidP="003A1632">
            <w:pPr>
              <w:rPr>
                <w:lang w:val="en-US"/>
              </w:rPr>
            </w:pPr>
            <w:r w:rsidRPr="003A1632">
              <w:t>=&gt; FFS on the Stage-3 details</w:t>
            </w:r>
          </w:p>
          <w:p w14:paraId="330A5E71" w14:textId="77777777" w:rsidR="00F024EE" w:rsidRPr="00F024EE" w:rsidRDefault="00F024EE" w:rsidP="00F024EE">
            <w:pPr>
              <w:rPr>
                <w:lang w:val="en-US"/>
              </w:rPr>
            </w:pPr>
            <w:r w:rsidRPr="00F024EE">
              <w:t>1  Existing Ax measurement events can be used for executing CHO. FFS which Ax events can be used.</w:t>
            </w:r>
          </w:p>
          <w:p w14:paraId="2FD5E5C0" w14:textId="77777777" w:rsidR="00F024EE" w:rsidRPr="00F024EE" w:rsidRDefault="00F024EE" w:rsidP="00F024EE">
            <w:pPr>
              <w:rPr>
                <w:lang w:val="en-US"/>
              </w:rPr>
            </w:pPr>
            <w:r w:rsidRPr="00F024EE">
              <w:t>2  Conventional handover overrides any configured conditional handover command</w:t>
            </w:r>
          </w:p>
          <w:p w14:paraId="3BDBCDC8" w14:textId="77777777" w:rsidR="00F024EE" w:rsidRPr="00F024EE" w:rsidRDefault="00F024EE" w:rsidP="00F024EE">
            <w:pPr>
              <w:rPr>
                <w:lang w:val="en-US"/>
              </w:rPr>
            </w:pPr>
            <w:r w:rsidRPr="00F024EE">
              <w:t>3  The network can inform the UE to release CHO configurations (e.g. candidate cells) by RRC signaling.</w:t>
            </w:r>
          </w:p>
          <w:p w14:paraId="7A723760" w14:textId="77777777" w:rsidR="00F024EE" w:rsidRPr="00F024EE" w:rsidRDefault="00F024EE" w:rsidP="00F024EE">
            <w:pPr>
              <w:rPr>
                <w:lang w:val="en-US"/>
              </w:rPr>
            </w:pPr>
            <w:r w:rsidRPr="00F024EE">
              <w:t xml:space="preserve">=&gt; FFS how “CHO cmd” is formulated in Stage-3 signalling </w:t>
            </w:r>
          </w:p>
          <w:p w14:paraId="0AC34B93" w14:textId="77777777" w:rsidR="00F024EE" w:rsidRPr="00F024EE" w:rsidRDefault="00F024EE" w:rsidP="00F024EE">
            <w:pPr>
              <w:rPr>
                <w:lang w:val="en-US"/>
              </w:rPr>
            </w:pPr>
            <w:r w:rsidRPr="00F024EE">
              <w:t xml:space="preserve">=&gt; FFS whether UE continues to receive source cell while executing CHO cmd. </w:t>
            </w:r>
          </w:p>
          <w:p w14:paraId="0136F6E3" w14:textId="77777777" w:rsidR="00F024EE" w:rsidRPr="00F024EE" w:rsidRDefault="00F024EE" w:rsidP="00F024EE">
            <w:pPr>
              <w:rPr>
                <w:lang w:val="en-US"/>
              </w:rPr>
            </w:pPr>
            <w:r w:rsidRPr="00F024EE">
              <w:t xml:space="preserve">=&gt; FFS what UE does if it receives HO cmd while executing CHO cmd. </w:t>
            </w:r>
          </w:p>
          <w:p w14:paraId="34AA0396" w14:textId="77777777" w:rsidR="00F024EE" w:rsidRPr="00F024EE" w:rsidRDefault="00F024EE" w:rsidP="00F024EE">
            <w:pPr>
              <w:rPr>
                <w:lang w:val="en-US"/>
              </w:rPr>
            </w:pPr>
            <w:r w:rsidRPr="00F024EE">
              <w:t xml:space="preserve">=&gt; FFS what UE does if NW removes CHO cmd while executing the same CHO cmd. </w:t>
            </w:r>
          </w:p>
          <w:p w14:paraId="79584FE8" w14:textId="77777777" w:rsidR="00443146" w:rsidRPr="00F024EE" w:rsidRDefault="004D693F" w:rsidP="00F024EE">
            <w:pPr>
              <w:numPr>
                <w:ilvl w:val="0"/>
                <w:numId w:val="12"/>
              </w:numPr>
              <w:rPr>
                <w:lang w:val="en-US"/>
              </w:rPr>
            </w:pPr>
            <w:r w:rsidRPr="00F024EE">
              <w:t>FFS whether UE stores CHO commands in failure cases</w:t>
            </w:r>
          </w:p>
          <w:p w14:paraId="03700198" w14:textId="738F8B86" w:rsidR="003A1632" w:rsidRPr="00EC2EAE" w:rsidRDefault="004D693F" w:rsidP="00C06F97">
            <w:pPr>
              <w:numPr>
                <w:ilvl w:val="0"/>
                <w:numId w:val="12"/>
              </w:numPr>
              <w:rPr>
                <w:lang w:val="en-US"/>
              </w:rPr>
            </w:pPr>
            <w:r w:rsidRPr="00F024EE">
              <w:t>FFS whether CHO candidates can be released via other means.</w:t>
            </w:r>
          </w:p>
        </w:tc>
      </w:tr>
    </w:tbl>
    <w:p w14:paraId="7D27025C" w14:textId="359998AD" w:rsidR="00EC2EAE" w:rsidRPr="006E13D1" w:rsidRDefault="00C038F3" w:rsidP="00A209D6">
      <w:r>
        <w:br/>
      </w:r>
      <w:r w:rsidR="00EC2EAE">
        <w:t xml:space="preserve">This paper is aimed at </w:t>
      </w:r>
      <w:r>
        <w:t>discussing further aspects of CHO in E-UTRAN</w:t>
      </w:r>
      <w:r w:rsidR="00866547">
        <w:t>, such as timer handling and consistency of RRC configuration</w:t>
      </w:r>
      <w:r>
        <w:t>.</w:t>
      </w:r>
    </w:p>
    <w:p w14:paraId="2107D99E" w14:textId="700BC934" w:rsidR="00137D82" w:rsidRDefault="00AC323E" w:rsidP="00137D82">
      <w:pPr>
        <w:pStyle w:val="Heading1"/>
      </w:pPr>
      <w:r>
        <w:t>2</w:t>
      </w:r>
      <w:r w:rsidR="00137D82" w:rsidRPr="006E13D1">
        <w:tab/>
      </w:r>
      <w:r w:rsidR="00137D82">
        <w:t xml:space="preserve">Discussion </w:t>
      </w:r>
    </w:p>
    <w:p w14:paraId="34A382DE" w14:textId="014F4FE1" w:rsidR="00137D82" w:rsidRDefault="00AC323E" w:rsidP="00137D82">
      <w:pPr>
        <w:pStyle w:val="Heading2"/>
      </w:pPr>
      <w:r>
        <w:t>2</w:t>
      </w:r>
      <w:r w:rsidR="00137D82">
        <w:t>.</w:t>
      </w:r>
      <w:r w:rsidR="0050186C">
        <w:t>1</w:t>
      </w:r>
      <w:r w:rsidR="00137D82">
        <w:tab/>
        <w:t>Simultaneous expiry of CHO condition for multiple target cells</w:t>
      </w:r>
    </w:p>
    <w:p w14:paraId="7FE04980" w14:textId="77777777" w:rsidR="00137D82" w:rsidRDefault="00137D82" w:rsidP="00137D82">
      <w:pPr>
        <w:jc w:val="both"/>
      </w:pPr>
      <w:r>
        <w:t>In theory, it may happen that the CHO condition expires for multiple target cells at the same time. There are multiple ways how the UE behaviour might be defined in this case:</w:t>
      </w:r>
    </w:p>
    <w:p w14:paraId="5A709EF2" w14:textId="77777777" w:rsidR="00137D82" w:rsidRDefault="00137D82" w:rsidP="00137D82">
      <w:pPr>
        <w:pStyle w:val="ListParagraph"/>
        <w:numPr>
          <w:ilvl w:val="0"/>
          <w:numId w:val="16"/>
        </w:numPr>
        <w:jc w:val="both"/>
      </w:pPr>
      <w:r>
        <w:t>RAN2 may leave it up to the UE implementation which one to select.</w:t>
      </w:r>
    </w:p>
    <w:p w14:paraId="2D8E9609" w14:textId="77777777" w:rsidR="00137D82" w:rsidRDefault="00137D82" w:rsidP="00137D82">
      <w:pPr>
        <w:pStyle w:val="ListParagraph"/>
        <w:numPr>
          <w:ilvl w:val="0"/>
          <w:numId w:val="16"/>
        </w:numPr>
        <w:jc w:val="both"/>
      </w:pPr>
      <w:r>
        <w:t>The UE may be forced to select the strongest cell in this case.</w:t>
      </w:r>
    </w:p>
    <w:p w14:paraId="521EB53B" w14:textId="66156283" w:rsidR="00137D82" w:rsidRDefault="00137D82" w:rsidP="00137D82">
      <w:pPr>
        <w:pStyle w:val="ListParagraph"/>
        <w:numPr>
          <w:ilvl w:val="0"/>
          <w:numId w:val="16"/>
        </w:numPr>
        <w:jc w:val="both"/>
      </w:pPr>
      <w:r>
        <w:t xml:space="preserve">Priorities might be defined, </w:t>
      </w:r>
      <w:r w:rsidR="0050186C">
        <w:t>e.g.</w:t>
      </w:r>
      <w:r>
        <w:t>, the UE shall prefer target cells in the same eNB.</w:t>
      </w:r>
    </w:p>
    <w:p w14:paraId="7F1B69BA" w14:textId="5C0F124A" w:rsidR="00137D82" w:rsidRDefault="00137D82" w:rsidP="00137D82">
      <w:pPr>
        <w:jc w:val="both"/>
      </w:pPr>
      <w:r>
        <w:lastRenderedPageBreak/>
        <w:t>Since simultaneous expiry will be an extremely rare case</w:t>
      </w:r>
      <w:r w:rsidR="0050186C">
        <w:t xml:space="preserve"> (contrary to what is claimed in several other papers)</w:t>
      </w:r>
      <w:r>
        <w:t xml:space="preserve">, we do not believe that RAN2 should spend time with a sophisticated solution; the simplest approach is </w:t>
      </w:r>
      <w:r w:rsidR="00DB3559">
        <w:t xml:space="preserve">to follow </w:t>
      </w:r>
      <w:r>
        <w:t>option 1.</w:t>
      </w:r>
    </w:p>
    <w:p w14:paraId="59B407D8" w14:textId="5D712457" w:rsidR="00137D82" w:rsidRDefault="00137D82" w:rsidP="00137D82">
      <w:pPr>
        <w:jc w:val="both"/>
        <w:rPr>
          <w:b/>
        </w:rPr>
      </w:pPr>
      <w:r>
        <w:rPr>
          <w:b/>
        </w:rPr>
        <w:t xml:space="preserve">Proposal </w:t>
      </w:r>
      <w:r w:rsidR="0050186C">
        <w:rPr>
          <w:b/>
        </w:rPr>
        <w:t>1</w:t>
      </w:r>
      <w:r>
        <w:rPr>
          <w:b/>
        </w:rPr>
        <w:t>: In the rare case the CHO condition expires for multiple target cells at the same time, it should be left up to the UE implementation which of the corresponding target cells it selects for CHO execution.</w:t>
      </w:r>
    </w:p>
    <w:p w14:paraId="6A9DCC4C" w14:textId="0C3EE67D" w:rsidR="00137D82" w:rsidRDefault="00AC323E" w:rsidP="00137D82">
      <w:pPr>
        <w:pStyle w:val="Heading2"/>
      </w:pPr>
      <w:r>
        <w:t>2</w:t>
      </w:r>
      <w:r w:rsidR="00137D82">
        <w:t>.</w:t>
      </w:r>
      <w:r w:rsidR="00F57CC0">
        <w:t>2</w:t>
      </w:r>
      <w:r w:rsidR="00137D82">
        <w:tab/>
        <w:t>Handling of T310</w:t>
      </w:r>
    </w:p>
    <w:p w14:paraId="42B36FDA" w14:textId="77777777" w:rsidR="00137D82" w:rsidRDefault="00137D82" w:rsidP="00137D82">
      <w:pPr>
        <w:jc w:val="both"/>
      </w:pPr>
      <w:r>
        <w:t>In today’s legacy handover procedure, T310 is stopped when the UE receives RRC reconfiguration with mobility information (“Handover Command”). This is a reasonable behaviour since the UE would immediately detach from the source cell. However, for CHO, the UE stays in the source cell and detaches later. Therefore, a pure stop of T310 would not be a reasonable behaviour. Instead:</w:t>
      </w:r>
    </w:p>
    <w:p w14:paraId="78D6DBC7" w14:textId="77777777" w:rsidR="00137D82" w:rsidRDefault="00137D82" w:rsidP="00137D82">
      <w:pPr>
        <w:pStyle w:val="ListParagraph"/>
        <w:numPr>
          <w:ilvl w:val="0"/>
          <w:numId w:val="17"/>
        </w:numPr>
        <w:jc w:val="both"/>
      </w:pPr>
      <w:r>
        <w:t>UE may stop T310 and execute the CHO configured in the HO Command immediately, even if the condition is not fulfilled. In other words, the UE would execute a legacy handover and ignore the condition.</w:t>
      </w:r>
    </w:p>
    <w:p w14:paraId="65BA5C79" w14:textId="77777777" w:rsidR="00137D82" w:rsidRDefault="00137D82" w:rsidP="00137D82">
      <w:pPr>
        <w:pStyle w:val="ListParagraph"/>
        <w:numPr>
          <w:ilvl w:val="0"/>
          <w:numId w:val="17"/>
        </w:numPr>
        <w:jc w:val="both"/>
      </w:pPr>
      <w:r>
        <w:t>UE does not stop T310.</w:t>
      </w:r>
    </w:p>
    <w:p w14:paraId="397A7F79" w14:textId="714A0E68" w:rsidR="00137D82" w:rsidRDefault="00137D82" w:rsidP="00137D82">
      <w:pPr>
        <w:pStyle w:val="ListParagraph"/>
        <w:numPr>
          <w:ilvl w:val="0"/>
          <w:numId w:val="17"/>
        </w:numPr>
        <w:jc w:val="both"/>
      </w:pPr>
      <w:r>
        <w:t>UE may use a concept similar to T312, i.e. it may start another (shorter) timer and execute the CHO (and stop T310) upon expiry of this timer (irrespective of condition). This would give the UE some chance</w:t>
      </w:r>
      <w:r w:rsidR="00F57CC0">
        <w:t>s</w:t>
      </w:r>
      <w:r>
        <w:t xml:space="preserve"> to recover.</w:t>
      </w:r>
    </w:p>
    <w:p w14:paraId="2B7925EA" w14:textId="641CEF19" w:rsidR="00137D82" w:rsidRDefault="00137D82" w:rsidP="00137D82">
      <w:pPr>
        <w:jc w:val="both"/>
      </w:pPr>
      <w:r>
        <w:t xml:space="preserve">Furthermore, it may happen that T310 is started after the CHO command was received. It seems logical that the UE stops the timer when the CHO condition </w:t>
      </w:r>
      <w:r w:rsidR="00797410">
        <w:t>expires,</w:t>
      </w:r>
      <w:r>
        <w:t xml:space="preserve"> and the UE will execute the CHO.</w:t>
      </w:r>
    </w:p>
    <w:p w14:paraId="61B05D7E" w14:textId="450D79EF" w:rsidR="00137D82" w:rsidRDefault="00137D82" w:rsidP="00137D82">
      <w:pPr>
        <w:jc w:val="both"/>
        <w:rPr>
          <w:b/>
        </w:rPr>
      </w:pPr>
      <w:r>
        <w:rPr>
          <w:b/>
        </w:rPr>
        <w:t xml:space="preserve">Proposal </w:t>
      </w:r>
      <w:r w:rsidR="00F57CC0">
        <w:rPr>
          <w:b/>
        </w:rPr>
        <w:t>2</w:t>
      </w:r>
      <w:r>
        <w:rPr>
          <w:b/>
        </w:rPr>
        <w:t>: T310 shall be stopped when the UE starts executing CHO. If T310 is running when a CHO Command is received, the alternatives above shall be studied.</w:t>
      </w:r>
    </w:p>
    <w:p w14:paraId="45FFA2A9" w14:textId="248EDEBA" w:rsidR="00137D82" w:rsidRDefault="00AC323E" w:rsidP="00137D82">
      <w:pPr>
        <w:pStyle w:val="Heading2"/>
      </w:pPr>
      <w:r>
        <w:t>2</w:t>
      </w:r>
      <w:r w:rsidR="00137D82">
        <w:t>.</w:t>
      </w:r>
      <w:r w:rsidR="00797410">
        <w:t>3</w:t>
      </w:r>
      <w:r w:rsidR="00137D82">
        <w:tab/>
        <w:t>Handling of T304</w:t>
      </w:r>
    </w:p>
    <w:p w14:paraId="7B0FF8D8" w14:textId="18034D21" w:rsidR="00137D82" w:rsidRDefault="00137D82" w:rsidP="00137D82">
      <w:pPr>
        <w:jc w:val="both"/>
      </w:pPr>
      <w:r>
        <w:t>Similarly, the handling of T304 has to be clarified. Obviously, T304 shall not be started when receiving a HO command</w:t>
      </w:r>
      <w:r w:rsidR="00797410">
        <w:t xml:space="preserve"> with CHO component</w:t>
      </w:r>
      <w:r>
        <w:t>, but it shall be started when the CHO execution is initiated, no matter whether this was caused by expiry of the CHO condition, or by any other trigger.</w:t>
      </w:r>
    </w:p>
    <w:p w14:paraId="2ECA734D" w14:textId="51B2B05F" w:rsidR="00137D82" w:rsidRDefault="00137D82" w:rsidP="00137D82">
      <w:pPr>
        <w:jc w:val="both"/>
        <w:rPr>
          <w:b/>
        </w:rPr>
      </w:pPr>
      <w:r>
        <w:rPr>
          <w:b/>
        </w:rPr>
        <w:t xml:space="preserve">Proposal </w:t>
      </w:r>
      <w:r w:rsidR="00797410">
        <w:rPr>
          <w:b/>
        </w:rPr>
        <w:t>3</w:t>
      </w:r>
      <w:r>
        <w:rPr>
          <w:b/>
        </w:rPr>
        <w:t xml:space="preserve">: T304 </w:t>
      </w:r>
      <w:r w:rsidR="00797410">
        <w:rPr>
          <w:b/>
        </w:rPr>
        <w:t xml:space="preserve">for Conditional Handover </w:t>
      </w:r>
      <w:r>
        <w:rPr>
          <w:b/>
        </w:rPr>
        <w:t>shall be started when CHO execution is initiated.</w:t>
      </w:r>
    </w:p>
    <w:p w14:paraId="713129EB" w14:textId="560E1071" w:rsidR="00137D82" w:rsidRDefault="00AC323E" w:rsidP="00137D82">
      <w:pPr>
        <w:pStyle w:val="Heading2"/>
      </w:pPr>
      <w:r>
        <w:t>2</w:t>
      </w:r>
      <w:r w:rsidR="00137D82">
        <w:t>.</w:t>
      </w:r>
      <w:r w:rsidR="00866547">
        <w:t>4</w:t>
      </w:r>
      <w:r w:rsidR="00137D82">
        <w:tab/>
        <w:t>Consistency of RRC Configuration</w:t>
      </w:r>
    </w:p>
    <w:p w14:paraId="06220E31" w14:textId="77777777" w:rsidR="00137D82" w:rsidRDefault="00137D82" w:rsidP="00137D82">
      <w:pPr>
        <w:jc w:val="both"/>
      </w:pPr>
      <w:r>
        <w:t xml:space="preserve">As per RAN2#105 agreements </w:t>
      </w:r>
      <w:r>
        <w:fldChar w:fldCharType="begin"/>
      </w:r>
      <w:r>
        <w:instrText xml:space="preserve"> REF _Ref4490809 \r \h </w:instrText>
      </w:r>
      <w:r>
        <w:fldChar w:fldCharType="separate"/>
      </w:r>
      <w:r>
        <w:t>[3]</w:t>
      </w:r>
      <w:r>
        <w:fldChar w:fldCharType="end"/>
      </w:r>
      <w:r>
        <w:t>, the source cell remains RRC responsible and can still send RRC reconfigurations to the UE. This may lead to an inconsistency of the RRC configuration that the UE actually has, and the RRC configuration which the CHO target(s) assume that the UE has. This inconsistency can be resolved by the following mechanisms:</w:t>
      </w:r>
    </w:p>
    <w:p w14:paraId="63871DFA" w14:textId="77777777" w:rsidR="00137D82" w:rsidRDefault="00137D82" w:rsidP="00137D82">
      <w:pPr>
        <w:pStyle w:val="ListParagraph"/>
        <w:numPr>
          <w:ilvl w:val="0"/>
          <w:numId w:val="18"/>
        </w:numPr>
        <w:jc w:val="both"/>
      </w:pPr>
      <w:r>
        <w:t>The source cell is not allowed to send reconfigurations which create such an inconsistency.</w:t>
      </w:r>
    </w:p>
    <w:p w14:paraId="5195F828" w14:textId="77777777" w:rsidR="00137D82" w:rsidRDefault="00137D82" w:rsidP="00137D82">
      <w:pPr>
        <w:pStyle w:val="ListParagraph"/>
        <w:numPr>
          <w:ilvl w:val="0"/>
          <w:numId w:val="18"/>
        </w:numPr>
        <w:jc w:val="both"/>
      </w:pPr>
      <w:r>
        <w:t>The source cell agrees the RRC reconfiguration with each CHO target cell, before it sends it to the UE (probably via new HO Request).</w:t>
      </w:r>
    </w:p>
    <w:p w14:paraId="015DE56F" w14:textId="77777777" w:rsidR="00137D82" w:rsidRDefault="00137D82" w:rsidP="00137D82">
      <w:pPr>
        <w:pStyle w:val="ListParagraph"/>
        <w:numPr>
          <w:ilvl w:val="0"/>
          <w:numId w:val="18"/>
        </w:numPr>
        <w:jc w:val="both"/>
      </w:pPr>
      <w:r>
        <w:t>The source cell informs each CHO target cell when it reconfigures the UE.</w:t>
      </w:r>
    </w:p>
    <w:p w14:paraId="0A379112" w14:textId="77777777" w:rsidR="00137D82" w:rsidRDefault="00137D82" w:rsidP="00137D82">
      <w:pPr>
        <w:pStyle w:val="ListParagraph"/>
        <w:numPr>
          <w:ilvl w:val="0"/>
          <w:numId w:val="18"/>
        </w:numPr>
        <w:jc w:val="both"/>
      </w:pPr>
      <w:r>
        <w:t>UE synchronizes its RRC configuration with the CHO target during (or right after) the RACH procedure.</w:t>
      </w:r>
    </w:p>
    <w:p w14:paraId="10C5066E" w14:textId="44D2E5C2" w:rsidR="00137D82" w:rsidRDefault="00137D82" w:rsidP="00137D82">
      <w:pPr>
        <w:pStyle w:val="ListParagraph"/>
        <w:numPr>
          <w:ilvl w:val="0"/>
          <w:numId w:val="18"/>
        </w:numPr>
        <w:jc w:val="both"/>
      </w:pPr>
      <w:r>
        <w:t xml:space="preserve">The UE is configured with a tag, which is changed when with every RRC reconfiguration. </w:t>
      </w:r>
    </w:p>
    <w:p w14:paraId="7194735A" w14:textId="69C5136C" w:rsidR="00137D82" w:rsidRDefault="00137D82" w:rsidP="00137D82">
      <w:pPr>
        <w:jc w:val="both"/>
      </w:pPr>
      <w:r>
        <w:t xml:space="preserve">We believe that a solution to the problem </w:t>
      </w:r>
      <w:r w:rsidR="006D323D">
        <w:t>could</w:t>
      </w:r>
      <w:r>
        <w:t xml:space="preserve"> be a combination of the list above. Details should be discussed further.</w:t>
      </w:r>
    </w:p>
    <w:p w14:paraId="671A2D88" w14:textId="48870F2B" w:rsidR="00137D82" w:rsidRDefault="00137D82" w:rsidP="00137D82">
      <w:pPr>
        <w:jc w:val="both"/>
        <w:rPr>
          <w:b/>
        </w:rPr>
      </w:pPr>
      <w:r>
        <w:rPr>
          <w:b/>
        </w:rPr>
        <w:t xml:space="preserve">Proposal </w:t>
      </w:r>
      <w:r w:rsidR="006D323D">
        <w:rPr>
          <w:b/>
        </w:rPr>
        <w:t>4</w:t>
      </w:r>
      <w:r>
        <w:rPr>
          <w:b/>
        </w:rPr>
        <w:t>: The consistency of UE’s RRC configuration can be guaranteed by a combination of the alternatives listed above.</w:t>
      </w:r>
    </w:p>
    <w:p w14:paraId="725196F1" w14:textId="2857BB6B" w:rsidR="00137D82" w:rsidRPr="001B7F28" w:rsidRDefault="00AC323E" w:rsidP="00137D82">
      <w:pPr>
        <w:pStyle w:val="Heading2"/>
      </w:pPr>
      <w:r>
        <w:t>2</w:t>
      </w:r>
      <w:r w:rsidR="00137D82">
        <w:t>.</w:t>
      </w:r>
      <w:r w:rsidR="00866547">
        <w:t>5</w:t>
      </w:r>
      <w:r w:rsidR="00137D82">
        <w:t xml:space="preserve"> </w:t>
      </w:r>
      <w:r w:rsidR="003143D8">
        <w:tab/>
      </w:r>
      <w:r w:rsidR="00137D82" w:rsidRPr="00DA7AAC">
        <w:t>RRC</w:t>
      </w:r>
      <w:r w:rsidR="00137D82">
        <w:t xml:space="preserve"> Connection R</w:t>
      </w:r>
      <w:r w:rsidR="00137D82" w:rsidRPr="00DA7AAC">
        <w:t>econfiguration</w:t>
      </w:r>
      <w:r w:rsidR="00137D82">
        <w:t xml:space="preserve"> </w:t>
      </w:r>
      <w:r w:rsidR="00137D82" w:rsidRPr="00DA7AAC">
        <w:t>Complete</w:t>
      </w:r>
    </w:p>
    <w:p w14:paraId="3F1881E7" w14:textId="77777777" w:rsidR="00137D82" w:rsidRDefault="00137D82" w:rsidP="00137D82">
      <w:r w:rsidRPr="006D197B">
        <w:t xml:space="preserve">When UE </w:t>
      </w:r>
      <w:r>
        <w:t xml:space="preserve">is in RRC Connected state and </w:t>
      </w:r>
      <w:r w:rsidRPr="006D197B">
        <w:t>receives a</w:t>
      </w:r>
      <w:r>
        <w:t>n</w:t>
      </w:r>
      <w:r w:rsidRPr="006D197B">
        <w:t xml:space="preserve"> </w:t>
      </w:r>
      <w:r w:rsidRPr="00FC0968">
        <w:t>RRC</w:t>
      </w:r>
      <w:r>
        <w:t xml:space="preserve"> Connection R</w:t>
      </w:r>
      <w:r w:rsidRPr="00FC0968">
        <w:t>econfiguration</w:t>
      </w:r>
      <w:r w:rsidRPr="006D197B">
        <w:t xml:space="preserve"> message</w:t>
      </w:r>
      <w:r>
        <w:t>,</w:t>
      </w:r>
      <w:r w:rsidRPr="006D197B">
        <w:t xml:space="preserve"> two cases may occur:</w:t>
      </w:r>
    </w:p>
    <w:p w14:paraId="2A3C598E" w14:textId="77777777" w:rsidR="00137D82" w:rsidRDefault="00137D82" w:rsidP="00137D82">
      <w:pPr>
        <w:pStyle w:val="B1"/>
        <w:numPr>
          <w:ilvl w:val="0"/>
          <w:numId w:val="19"/>
        </w:numPr>
      </w:pPr>
      <w:r>
        <w:t xml:space="preserve">The message is for Handover purpose (contains </w:t>
      </w:r>
      <w:r w:rsidRPr="008C1819">
        <w:rPr>
          <w:i/>
        </w:rPr>
        <w:t>mobilityControlInfo</w:t>
      </w:r>
      <w:r>
        <w:t xml:space="preserve">): the UE executes the Handover without delay, and without sending any </w:t>
      </w:r>
      <w:r>
        <w:rPr>
          <w:i/>
        </w:rPr>
        <w:t xml:space="preserve">RRCreconfigurationcomplete </w:t>
      </w:r>
      <w:r>
        <w:t xml:space="preserve">to the source cell. The </w:t>
      </w:r>
      <w:r>
        <w:rPr>
          <w:i/>
        </w:rPr>
        <w:t>RRCreconfigurationcomplete</w:t>
      </w:r>
      <w:r>
        <w:t xml:space="preserve"> message is delivered to the target cell.</w:t>
      </w:r>
    </w:p>
    <w:p w14:paraId="68445FDF" w14:textId="77777777" w:rsidR="00137D82" w:rsidRDefault="00137D82" w:rsidP="00137D82">
      <w:pPr>
        <w:pStyle w:val="B1"/>
        <w:numPr>
          <w:ilvl w:val="0"/>
          <w:numId w:val="19"/>
        </w:numPr>
      </w:pPr>
      <w:r>
        <w:t xml:space="preserve">The message is a “normal” </w:t>
      </w:r>
      <w:r>
        <w:rPr>
          <w:i/>
        </w:rPr>
        <w:t>RRCreconfiguration</w:t>
      </w:r>
      <w:r>
        <w:t xml:space="preserve">, which does not involve handover (without </w:t>
      </w:r>
      <w:r w:rsidRPr="008C1819">
        <w:rPr>
          <w:i/>
        </w:rPr>
        <w:t>mobilityControlInfo</w:t>
      </w:r>
      <w:r>
        <w:t xml:space="preserve">). The UE sends a </w:t>
      </w:r>
      <w:r>
        <w:rPr>
          <w:i/>
        </w:rPr>
        <w:t>RRCreconfigurationcomplete</w:t>
      </w:r>
      <w:r>
        <w:t xml:space="preserve"> message to the serving cell to confirm that it has received the message and implemented the changes.</w:t>
      </w:r>
    </w:p>
    <w:p w14:paraId="221ECC33" w14:textId="7A6E87EF" w:rsidR="00137D82" w:rsidRDefault="00137D82" w:rsidP="00137D82">
      <w:pPr>
        <w:jc w:val="both"/>
      </w:pPr>
      <w:r>
        <w:lastRenderedPageBreak/>
        <w:t xml:space="preserve">In the case of Conditional Handover, the situation can be a mixture of both cases: the </w:t>
      </w:r>
      <w:r>
        <w:rPr>
          <w:i/>
        </w:rPr>
        <w:t>RRC</w:t>
      </w:r>
      <w:r w:rsidR="001B1FC8">
        <w:rPr>
          <w:i/>
        </w:rPr>
        <w:t>R</w:t>
      </w:r>
      <w:r>
        <w:rPr>
          <w:i/>
        </w:rPr>
        <w:t xml:space="preserve">econfiguration </w:t>
      </w:r>
      <w:r>
        <w:t xml:space="preserve">message is for a Handover, but UE should be able to send a </w:t>
      </w:r>
      <w:r>
        <w:rPr>
          <w:i/>
        </w:rPr>
        <w:t>RRC</w:t>
      </w:r>
      <w:r w:rsidR="001B1FC8">
        <w:rPr>
          <w:i/>
        </w:rPr>
        <w:t>R</w:t>
      </w:r>
      <w:r>
        <w:rPr>
          <w:i/>
        </w:rPr>
        <w:t>econfiguration</w:t>
      </w:r>
      <w:r w:rsidR="001B1FC8">
        <w:rPr>
          <w:i/>
        </w:rPr>
        <w:t>C</w:t>
      </w:r>
      <w:r>
        <w:rPr>
          <w:i/>
        </w:rPr>
        <w:t xml:space="preserve">omplete </w:t>
      </w:r>
      <w:r>
        <w:t>message because the Handover trigger is not expected to be immediate in most cases. Furthermore, the network continues to communicate with the UE and it should know the UE configuration and know if UE has implemented the RRC Reconfiguration:</w:t>
      </w:r>
    </w:p>
    <w:p w14:paraId="128C805F" w14:textId="7D61D534" w:rsidR="00137D82" w:rsidRDefault="00137D82" w:rsidP="00137D82">
      <w:pPr>
        <w:rPr>
          <w:b/>
        </w:rPr>
      </w:pPr>
      <w:r>
        <w:rPr>
          <w:b/>
        </w:rPr>
        <w:t xml:space="preserve">Observation </w:t>
      </w:r>
      <w:r w:rsidR="001B1FC8">
        <w:rPr>
          <w:b/>
        </w:rPr>
        <w:t>1</w:t>
      </w:r>
      <w:r>
        <w:rPr>
          <w:b/>
        </w:rPr>
        <w:t xml:space="preserve">: If UE stays in the serving cell after being configured for CHO, it should send </w:t>
      </w:r>
      <w:r w:rsidRPr="008C1819">
        <w:rPr>
          <w:b/>
        </w:rPr>
        <w:t>RRC</w:t>
      </w:r>
      <w:r>
        <w:rPr>
          <w:b/>
          <w:i/>
        </w:rPr>
        <w:t>ConnectionReconfigurationComplete</w:t>
      </w:r>
      <w:r>
        <w:rPr>
          <w:b/>
        </w:rPr>
        <w:t xml:space="preserve"> message.</w:t>
      </w:r>
    </w:p>
    <w:p w14:paraId="332566B3" w14:textId="77777777" w:rsidR="00137D82" w:rsidRDefault="00137D82" w:rsidP="00137D82">
      <w:pPr>
        <w:jc w:val="both"/>
      </w:pPr>
      <w:r>
        <w:t>However, in some cases, the execution of the CHO is triggered just after the reception of the CHO configuration, i.e. the CHO condition is already fulfilled at the moment the reception of the CHO configuration message or it is almost fulfilled. In this case it makes no sense for the UE to send the confirmation because it would be the right time to execute the HO to the target cell. Indeed, when the HO is to be triggered, it means that the connection to the serving cell is not optimal and sending a message may be difficult or even lead to RLF.</w:t>
      </w:r>
    </w:p>
    <w:p w14:paraId="3CE19E9E" w14:textId="77777777" w:rsidR="00137D82" w:rsidRDefault="00137D82" w:rsidP="00137D82">
      <w:pPr>
        <w:jc w:val="both"/>
      </w:pPr>
      <w:r w:rsidRPr="00FC0968">
        <w:t xml:space="preserve">This means that the execution of the CHO should take place and the UE should cancel the transmission of the </w:t>
      </w:r>
      <w:r>
        <w:rPr>
          <w:i/>
        </w:rPr>
        <w:t xml:space="preserve">RRCreconfigurationcomplete </w:t>
      </w:r>
      <w:r w:rsidRPr="00FC0968">
        <w:t>message</w:t>
      </w:r>
      <w:r>
        <w:t>.</w:t>
      </w:r>
    </w:p>
    <w:p w14:paraId="368EF914" w14:textId="2D3D35FC" w:rsidR="00137D82" w:rsidRPr="006D197B" w:rsidRDefault="00137D82" w:rsidP="00137D82">
      <w:pPr>
        <w:rPr>
          <w:b/>
        </w:rPr>
      </w:pPr>
      <w:r w:rsidRPr="006D197B">
        <w:rPr>
          <w:b/>
        </w:rPr>
        <w:t xml:space="preserve">Proposal </w:t>
      </w:r>
      <w:r w:rsidR="007F11F8">
        <w:rPr>
          <w:b/>
        </w:rPr>
        <w:t>5</w:t>
      </w:r>
      <w:r w:rsidRPr="006D197B">
        <w:rPr>
          <w:b/>
        </w:rPr>
        <w:t xml:space="preserve">: When being configured for Conditional Handover and the condition to execute the CHO is met, the UE should cancel the transmission of </w:t>
      </w:r>
      <w:r w:rsidRPr="00FC0968">
        <w:rPr>
          <w:b/>
          <w:i/>
        </w:rPr>
        <w:t>RRC</w:t>
      </w:r>
      <w:r>
        <w:rPr>
          <w:b/>
          <w:i/>
        </w:rPr>
        <w:t>ConnectionR</w:t>
      </w:r>
      <w:r w:rsidRPr="00FC0968">
        <w:rPr>
          <w:b/>
          <w:i/>
        </w:rPr>
        <w:t>econfiguration</w:t>
      </w:r>
      <w:r>
        <w:rPr>
          <w:b/>
          <w:i/>
        </w:rPr>
        <w:t>C</w:t>
      </w:r>
      <w:r w:rsidRPr="00FC0968">
        <w:rPr>
          <w:b/>
          <w:i/>
        </w:rPr>
        <w:t>omplete</w:t>
      </w:r>
      <w:r w:rsidRPr="00FC0968">
        <w:rPr>
          <w:b/>
        </w:rPr>
        <w:t xml:space="preserve"> and execute the CHO. The </w:t>
      </w:r>
      <w:r w:rsidRPr="00FC0968">
        <w:rPr>
          <w:b/>
          <w:i/>
        </w:rPr>
        <w:t>RRC</w:t>
      </w:r>
      <w:r>
        <w:rPr>
          <w:b/>
          <w:i/>
        </w:rPr>
        <w:t>ConnectionR</w:t>
      </w:r>
      <w:r w:rsidRPr="00FC0968">
        <w:rPr>
          <w:b/>
          <w:i/>
        </w:rPr>
        <w:t>econfiguration</w:t>
      </w:r>
      <w:r>
        <w:rPr>
          <w:b/>
          <w:i/>
        </w:rPr>
        <w:t>C</w:t>
      </w:r>
      <w:r w:rsidRPr="00FC0968">
        <w:rPr>
          <w:b/>
          <w:i/>
        </w:rPr>
        <w:t>omplete</w:t>
      </w:r>
      <w:r w:rsidRPr="00FC0968">
        <w:rPr>
          <w:b/>
        </w:rPr>
        <w:t xml:space="preserve"> is transmitted to the target cell.</w:t>
      </w:r>
    </w:p>
    <w:p w14:paraId="25F63A67" w14:textId="204CD566" w:rsidR="00137D82" w:rsidRPr="00FC0968" w:rsidRDefault="00137D82" w:rsidP="00137D82">
      <w:r w:rsidRPr="00FC0968">
        <w:t xml:space="preserve">In the first moment after the reception of the RRC Reconfiguration message, </w:t>
      </w:r>
      <w:r>
        <w:t xml:space="preserve">in order not to delay at all the execution of the </w:t>
      </w:r>
      <w:r w:rsidR="007F11F8">
        <w:t>h</w:t>
      </w:r>
      <w:r>
        <w:t xml:space="preserve">andover, the UE may even not try to send </w:t>
      </w:r>
      <w:r w:rsidRPr="00FC0968">
        <w:rPr>
          <w:i/>
        </w:rPr>
        <w:t>RRCreconfigurationcomplete</w:t>
      </w:r>
      <w:r>
        <w:t xml:space="preserve">. </w:t>
      </w:r>
    </w:p>
    <w:p w14:paraId="722B357E" w14:textId="3EA35D28" w:rsidR="00137D82" w:rsidRPr="00DA7AAC" w:rsidRDefault="00137D82" w:rsidP="00137D82">
      <w:pPr>
        <w:rPr>
          <w:b/>
        </w:rPr>
      </w:pPr>
      <w:r w:rsidRPr="00192699">
        <w:rPr>
          <w:b/>
        </w:rPr>
        <w:t xml:space="preserve">Proposal </w:t>
      </w:r>
      <w:r w:rsidR="007F11F8">
        <w:rPr>
          <w:b/>
        </w:rPr>
        <w:t>6</w:t>
      </w:r>
      <w:r w:rsidRPr="00192699">
        <w:rPr>
          <w:b/>
        </w:rPr>
        <w:t xml:space="preserve">: </w:t>
      </w:r>
      <w:r>
        <w:rPr>
          <w:b/>
        </w:rPr>
        <w:t>For a period</w:t>
      </w:r>
      <w:r w:rsidRPr="00FC0968">
        <w:rPr>
          <w:b/>
        </w:rPr>
        <w:t xml:space="preserve"> of the RRC Reconfiguration </w:t>
      </w:r>
      <w:r>
        <w:rPr>
          <w:b/>
        </w:rPr>
        <w:t>procedure</w:t>
      </w:r>
      <w:r w:rsidRPr="00FC0968">
        <w:rPr>
          <w:b/>
        </w:rPr>
        <w:t xml:space="preserve">, the UE </w:t>
      </w:r>
      <w:r>
        <w:rPr>
          <w:b/>
        </w:rPr>
        <w:t xml:space="preserve">does not try to send the </w:t>
      </w:r>
      <w:r w:rsidRPr="006A55C4">
        <w:rPr>
          <w:b/>
          <w:i/>
        </w:rPr>
        <w:t>RRCreconfigurationcomplete</w:t>
      </w:r>
      <w:r>
        <w:rPr>
          <w:b/>
        </w:rPr>
        <w:t xml:space="preserve"> to allow the CHO to be executed if the condition is fulfilled during this period.</w:t>
      </w:r>
    </w:p>
    <w:p w14:paraId="2CD17DDF" w14:textId="12312DE3" w:rsidR="00A066AC" w:rsidRDefault="007F11F8" w:rsidP="00A066AC">
      <w:pPr>
        <w:pStyle w:val="Heading1"/>
      </w:pPr>
      <w:r>
        <w:t>3</w:t>
      </w:r>
      <w:r w:rsidR="00A066AC" w:rsidRPr="006E13D1">
        <w:tab/>
      </w:r>
      <w:r>
        <w:t>Conclusions</w:t>
      </w:r>
    </w:p>
    <w:p w14:paraId="14615B81" w14:textId="77777777" w:rsidR="007F11F8" w:rsidRDefault="007F11F8" w:rsidP="007F11F8">
      <w:pPr>
        <w:jc w:val="both"/>
      </w:pPr>
      <w:r>
        <w:t xml:space="preserve">This paper discussed </w:t>
      </w:r>
      <w:r w:rsidRPr="007F11F8">
        <w:t>further aspects of CHO in E-UTRAN, such as timer handling and consistency of RRC configuration</w:t>
      </w:r>
      <w:r>
        <w:t>. The following observations and proposals have been made:</w:t>
      </w:r>
    </w:p>
    <w:p w14:paraId="0239D4E6" w14:textId="77777777" w:rsidR="007F11F8" w:rsidRDefault="007F11F8" w:rsidP="007F11F8">
      <w:pPr>
        <w:jc w:val="both"/>
        <w:rPr>
          <w:b/>
        </w:rPr>
      </w:pPr>
      <w:r>
        <w:rPr>
          <w:b/>
        </w:rPr>
        <w:t>Proposal 1: In the rare case the CHO condition expires for multiple target cells at the same time, it should be left up to the UE implementation which of the corresponding target cells it selects for CHO execution.</w:t>
      </w:r>
    </w:p>
    <w:p w14:paraId="25185662" w14:textId="77777777" w:rsidR="007F11F8" w:rsidRDefault="007F11F8" w:rsidP="007F11F8">
      <w:pPr>
        <w:jc w:val="both"/>
        <w:rPr>
          <w:b/>
        </w:rPr>
      </w:pPr>
      <w:r>
        <w:rPr>
          <w:b/>
        </w:rPr>
        <w:t>Proposal 2: T310 shall be stopped when the UE starts executing CHO. If T310 is running when a CHO Command is received, the alternatives above shall be studied.</w:t>
      </w:r>
    </w:p>
    <w:p w14:paraId="36E6C162" w14:textId="77777777" w:rsidR="007F11F8" w:rsidRDefault="007F11F8" w:rsidP="007F11F8">
      <w:pPr>
        <w:jc w:val="both"/>
        <w:rPr>
          <w:b/>
        </w:rPr>
      </w:pPr>
      <w:r>
        <w:rPr>
          <w:b/>
        </w:rPr>
        <w:t>Proposal 3: T304 for Conditional Handover shall be started when CHO execution is initiated.</w:t>
      </w:r>
    </w:p>
    <w:p w14:paraId="7A68D286" w14:textId="77777777" w:rsidR="007F11F8" w:rsidRDefault="007F11F8" w:rsidP="007F11F8">
      <w:pPr>
        <w:jc w:val="both"/>
        <w:rPr>
          <w:b/>
        </w:rPr>
      </w:pPr>
      <w:r>
        <w:rPr>
          <w:b/>
        </w:rPr>
        <w:t>Proposal 4: The consistency of UE’s RRC configuration can be guaranteed by a combination of the alternatives listed above.</w:t>
      </w:r>
    </w:p>
    <w:p w14:paraId="75B674B8" w14:textId="77777777" w:rsidR="007F11F8" w:rsidRDefault="007F11F8" w:rsidP="007F11F8">
      <w:pPr>
        <w:rPr>
          <w:b/>
        </w:rPr>
      </w:pPr>
      <w:r>
        <w:rPr>
          <w:b/>
        </w:rPr>
        <w:t xml:space="preserve">Observation 1: If UE stays in the serving cell after being configured for CHO, it should send </w:t>
      </w:r>
      <w:r w:rsidRPr="008C1819">
        <w:rPr>
          <w:b/>
        </w:rPr>
        <w:t>RRC</w:t>
      </w:r>
      <w:r>
        <w:rPr>
          <w:b/>
          <w:i/>
        </w:rPr>
        <w:t>ConnectionReconfigurationComplete</w:t>
      </w:r>
      <w:r>
        <w:rPr>
          <w:b/>
        </w:rPr>
        <w:t xml:space="preserve"> message.</w:t>
      </w:r>
    </w:p>
    <w:p w14:paraId="3D678CDE" w14:textId="77777777" w:rsidR="007F11F8" w:rsidRPr="006D197B" w:rsidRDefault="007F11F8" w:rsidP="007F11F8">
      <w:pPr>
        <w:rPr>
          <w:b/>
        </w:rPr>
      </w:pPr>
      <w:r w:rsidRPr="006D197B">
        <w:rPr>
          <w:b/>
        </w:rPr>
        <w:t xml:space="preserve">Proposal </w:t>
      </w:r>
      <w:r>
        <w:rPr>
          <w:b/>
        </w:rPr>
        <w:t>5</w:t>
      </w:r>
      <w:r w:rsidRPr="006D197B">
        <w:rPr>
          <w:b/>
        </w:rPr>
        <w:t xml:space="preserve">: When being configured for Conditional Handover and the condition to execute the CHO is met, the UE should cancel the transmission of </w:t>
      </w:r>
      <w:r w:rsidRPr="00FC0968">
        <w:rPr>
          <w:b/>
          <w:i/>
        </w:rPr>
        <w:t>RRC</w:t>
      </w:r>
      <w:r>
        <w:rPr>
          <w:b/>
          <w:i/>
        </w:rPr>
        <w:t>ConnectionR</w:t>
      </w:r>
      <w:r w:rsidRPr="00FC0968">
        <w:rPr>
          <w:b/>
          <w:i/>
        </w:rPr>
        <w:t>econfiguration</w:t>
      </w:r>
      <w:r>
        <w:rPr>
          <w:b/>
          <w:i/>
        </w:rPr>
        <w:t>C</w:t>
      </w:r>
      <w:r w:rsidRPr="00FC0968">
        <w:rPr>
          <w:b/>
          <w:i/>
        </w:rPr>
        <w:t>omplete</w:t>
      </w:r>
      <w:r w:rsidRPr="00FC0968">
        <w:rPr>
          <w:b/>
        </w:rPr>
        <w:t xml:space="preserve"> and execute the CHO. The </w:t>
      </w:r>
      <w:r w:rsidRPr="00FC0968">
        <w:rPr>
          <w:b/>
          <w:i/>
        </w:rPr>
        <w:t>RRC</w:t>
      </w:r>
      <w:r>
        <w:rPr>
          <w:b/>
          <w:i/>
        </w:rPr>
        <w:t>ConnectionR</w:t>
      </w:r>
      <w:r w:rsidRPr="00FC0968">
        <w:rPr>
          <w:b/>
          <w:i/>
        </w:rPr>
        <w:t>econfiguration</w:t>
      </w:r>
      <w:r>
        <w:rPr>
          <w:b/>
          <w:i/>
        </w:rPr>
        <w:t>C</w:t>
      </w:r>
      <w:r w:rsidRPr="00FC0968">
        <w:rPr>
          <w:b/>
          <w:i/>
        </w:rPr>
        <w:t>omplete</w:t>
      </w:r>
      <w:r w:rsidRPr="00FC0968">
        <w:rPr>
          <w:b/>
        </w:rPr>
        <w:t xml:space="preserve"> is transmitted to the target cell.</w:t>
      </w:r>
    </w:p>
    <w:p w14:paraId="35DA3BB4" w14:textId="407C832D" w:rsidR="000B505A" w:rsidRPr="00DA7580" w:rsidRDefault="007F11F8">
      <w:pPr>
        <w:jc w:val="both"/>
        <w:rPr>
          <w:b/>
        </w:rPr>
      </w:pPr>
      <w:r w:rsidRPr="00192699">
        <w:rPr>
          <w:b/>
        </w:rPr>
        <w:t xml:space="preserve">Proposal </w:t>
      </w:r>
      <w:r>
        <w:rPr>
          <w:b/>
        </w:rPr>
        <w:t>6</w:t>
      </w:r>
      <w:r w:rsidRPr="00192699">
        <w:rPr>
          <w:b/>
        </w:rPr>
        <w:t xml:space="preserve">: </w:t>
      </w:r>
      <w:r>
        <w:rPr>
          <w:b/>
        </w:rPr>
        <w:t>For a period</w:t>
      </w:r>
      <w:r w:rsidRPr="00FC0968">
        <w:rPr>
          <w:b/>
        </w:rPr>
        <w:t xml:space="preserve"> of the RRC Reconfiguration </w:t>
      </w:r>
      <w:r>
        <w:rPr>
          <w:b/>
        </w:rPr>
        <w:t>procedure</w:t>
      </w:r>
      <w:r w:rsidRPr="00FC0968">
        <w:rPr>
          <w:b/>
        </w:rPr>
        <w:t xml:space="preserve">, the UE </w:t>
      </w:r>
      <w:r>
        <w:rPr>
          <w:b/>
        </w:rPr>
        <w:t xml:space="preserve">does not try to send the </w:t>
      </w:r>
      <w:r w:rsidRPr="006A55C4">
        <w:rPr>
          <w:b/>
          <w:i/>
        </w:rPr>
        <w:t>RRCreconfigurationcomplete</w:t>
      </w:r>
      <w:r>
        <w:rPr>
          <w:b/>
        </w:rPr>
        <w:t xml:space="preserve"> to allow the CHO to be executed if the condition is fulfilled during this period.</w:t>
      </w:r>
    </w:p>
    <w:p w14:paraId="6A87A9E5" w14:textId="77777777" w:rsidR="00C038F3" w:rsidRDefault="00C038F3" w:rsidP="00C038F3">
      <w:pPr>
        <w:pStyle w:val="Heading1"/>
      </w:pPr>
      <w:r>
        <w:t>References</w:t>
      </w:r>
    </w:p>
    <w:p w14:paraId="1F5EAB6D" w14:textId="674D7A09" w:rsidR="00EC2EAE" w:rsidRPr="00C06F97" w:rsidRDefault="00C038F3" w:rsidP="00C06F97">
      <w:pPr>
        <w:pStyle w:val="ListParagraph"/>
        <w:numPr>
          <w:ilvl w:val="0"/>
          <w:numId w:val="20"/>
        </w:numPr>
        <w:jc w:val="both"/>
        <w:rPr>
          <w:lang w:eastAsia="ko-KR"/>
        </w:rPr>
      </w:pPr>
      <w:bookmarkStart w:id="1" w:name="_Ref7687119"/>
      <w:r>
        <w:rPr>
          <w:lang w:eastAsia="ko-KR"/>
        </w:rPr>
        <w:t xml:space="preserve">R2-1905188 </w:t>
      </w:r>
      <w:r w:rsidRPr="005627FE">
        <w:rPr>
          <w:i/>
          <w:lang w:eastAsia="ko-KR"/>
        </w:rPr>
        <w:t>Report from session on Rel-16 LTE Mobility Enhancements WI</w:t>
      </w:r>
      <w:r>
        <w:rPr>
          <w:lang w:eastAsia="ko-KR"/>
        </w:rPr>
        <w:t xml:space="preserve"> 3GPP TSG-RAN WG2 Meeting #105bis Xian, China, 8th – 12th April 2019</w:t>
      </w:r>
      <w:bookmarkEnd w:id="1"/>
    </w:p>
    <w:sectPr w:rsidR="00EC2EAE" w:rsidRPr="00C06F9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7CD4C" w14:textId="77777777" w:rsidR="0008117C" w:rsidRDefault="0008117C">
      <w:r>
        <w:separator/>
      </w:r>
    </w:p>
  </w:endnote>
  <w:endnote w:type="continuationSeparator" w:id="0">
    <w:p w14:paraId="4E596351" w14:textId="77777777" w:rsidR="0008117C" w:rsidRDefault="0008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78A9D" w14:textId="77777777" w:rsidR="0008117C" w:rsidRDefault="0008117C">
      <w:r>
        <w:separator/>
      </w:r>
    </w:p>
  </w:footnote>
  <w:footnote w:type="continuationSeparator" w:id="0">
    <w:p w14:paraId="4C9CF21C" w14:textId="77777777" w:rsidR="0008117C" w:rsidRDefault="0008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93A3E"/>
    <w:multiLevelType w:val="hybridMultilevel"/>
    <w:tmpl w:val="F868760C"/>
    <w:lvl w:ilvl="0" w:tplc="A4D86D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00798"/>
    <w:multiLevelType w:val="hybridMultilevel"/>
    <w:tmpl w:val="FBCC4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D6D46"/>
    <w:multiLevelType w:val="hybridMultilevel"/>
    <w:tmpl w:val="DBD296BE"/>
    <w:lvl w:ilvl="0" w:tplc="9CC8459E">
      <w:start w:val="1"/>
      <w:numFmt w:val="bullet"/>
      <w:lvlText w:val=""/>
      <w:lvlJc w:val="left"/>
      <w:pPr>
        <w:tabs>
          <w:tab w:val="num" w:pos="720"/>
        </w:tabs>
        <w:ind w:left="720" w:hanging="360"/>
      </w:pPr>
      <w:rPr>
        <w:rFonts w:ascii="Symbol" w:hAnsi="Symbol" w:hint="default"/>
      </w:rPr>
    </w:lvl>
    <w:lvl w:ilvl="1" w:tplc="0A48CF0C" w:tentative="1">
      <w:start w:val="1"/>
      <w:numFmt w:val="bullet"/>
      <w:lvlText w:val=""/>
      <w:lvlJc w:val="left"/>
      <w:pPr>
        <w:tabs>
          <w:tab w:val="num" w:pos="1440"/>
        </w:tabs>
        <w:ind w:left="1440" w:hanging="360"/>
      </w:pPr>
      <w:rPr>
        <w:rFonts w:ascii="Symbol" w:hAnsi="Symbol" w:hint="default"/>
      </w:rPr>
    </w:lvl>
    <w:lvl w:ilvl="2" w:tplc="97AE55F6" w:tentative="1">
      <w:start w:val="1"/>
      <w:numFmt w:val="bullet"/>
      <w:lvlText w:val=""/>
      <w:lvlJc w:val="left"/>
      <w:pPr>
        <w:tabs>
          <w:tab w:val="num" w:pos="2160"/>
        </w:tabs>
        <w:ind w:left="2160" w:hanging="360"/>
      </w:pPr>
      <w:rPr>
        <w:rFonts w:ascii="Symbol" w:hAnsi="Symbol" w:hint="default"/>
      </w:rPr>
    </w:lvl>
    <w:lvl w:ilvl="3" w:tplc="3086EF74" w:tentative="1">
      <w:start w:val="1"/>
      <w:numFmt w:val="bullet"/>
      <w:lvlText w:val=""/>
      <w:lvlJc w:val="left"/>
      <w:pPr>
        <w:tabs>
          <w:tab w:val="num" w:pos="2880"/>
        </w:tabs>
        <w:ind w:left="2880" w:hanging="360"/>
      </w:pPr>
      <w:rPr>
        <w:rFonts w:ascii="Symbol" w:hAnsi="Symbol" w:hint="default"/>
      </w:rPr>
    </w:lvl>
    <w:lvl w:ilvl="4" w:tplc="B44425B0" w:tentative="1">
      <w:start w:val="1"/>
      <w:numFmt w:val="bullet"/>
      <w:lvlText w:val=""/>
      <w:lvlJc w:val="left"/>
      <w:pPr>
        <w:tabs>
          <w:tab w:val="num" w:pos="3600"/>
        </w:tabs>
        <w:ind w:left="3600" w:hanging="360"/>
      </w:pPr>
      <w:rPr>
        <w:rFonts w:ascii="Symbol" w:hAnsi="Symbol" w:hint="default"/>
      </w:rPr>
    </w:lvl>
    <w:lvl w:ilvl="5" w:tplc="3C026EE0" w:tentative="1">
      <w:start w:val="1"/>
      <w:numFmt w:val="bullet"/>
      <w:lvlText w:val=""/>
      <w:lvlJc w:val="left"/>
      <w:pPr>
        <w:tabs>
          <w:tab w:val="num" w:pos="4320"/>
        </w:tabs>
        <w:ind w:left="4320" w:hanging="360"/>
      </w:pPr>
      <w:rPr>
        <w:rFonts w:ascii="Symbol" w:hAnsi="Symbol" w:hint="default"/>
      </w:rPr>
    </w:lvl>
    <w:lvl w:ilvl="6" w:tplc="F8708A24" w:tentative="1">
      <w:start w:val="1"/>
      <w:numFmt w:val="bullet"/>
      <w:lvlText w:val=""/>
      <w:lvlJc w:val="left"/>
      <w:pPr>
        <w:tabs>
          <w:tab w:val="num" w:pos="5040"/>
        </w:tabs>
        <w:ind w:left="5040" w:hanging="360"/>
      </w:pPr>
      <w:rPr>
        <w:rFonts w:ascii="Symbol" w:hAnsi="Symbol" w:hint="default"/>
      </w:rPr>
    </w:lvl>
    <w:lvl w:ilvl="7" w:tplc="FB06DD1C" w:tentative="1">
      <w:start w:val="1"/>
      <w:numFmt w:val="bullet"/>
      <w:lvlText w:val=""/>
      <w:lvlJc w:val="left"/>
      <w:pPr>
        <w:tabs>
          <w:tab w:val="num" w:pos="5760"/>
        </w:tabs>
        <w:ind w:left="5760" w:hanging="360"/>
      </w:pPr>
      <w:rPr>
        <w:rFonts w:ascii="Symbol" w:hAnsi="Symbol" w:hint="default"/>
      </w:rPr>
    </w:lvl>
    <w:lvl w:ilvl="8" w:tplc="3F74D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4B7129"/>
    <w:multiLevelType w:val="hybridMultilevel"/>
    <w:tmpl w:val="87289C20"/>
    <w:lvl w:ilvl="0" w:tplc="671054D2">
      <w:start w:val="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57167"/>
    <w:multiLevelType w:val="hybridMultilevel"/>
    <w:tmpl w:val="82D2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D2FDB"/>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C0018"/>
    <w:multiLevelType w:val="hybridMultilevel"/>
    <w:tmpl w:val="9FDA0C6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06013"/>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5F17F4"/>
    <w:multiLevelType w:val="hybridMultilevel"/>
    <w:tmpl w:val="3C16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2"/>
  </w:num>
  <w:num w:numId="9">
    <w:abstractNumId w:val="3"/>
  </w:num>
  <w:num w:numId="10">
    <w:abstractNumId w:val="15"/>
  </w:num>
  <w:num w:numId="11">
    <w:abstractNumId w:val="10"/>
  </w:num>
  <w:num w:numId="12">
    <w:abstractNumId w:val="4"/>
  </w:num>
  <w:num w:numId="13">
    <w:abstractNumId w:val="18"/>
  </w:num>
  <w:num w:numId="14">
    <w:abstractNumId w:val="9"/>
  </w:num>
  <w:num w:numId="15">
    <w:abstractNumId w:val="17"/>
  </w:num>
  <w:num w:numId="16">
    <w:abstractNumId w:val="16"/>
  </w:num>
  <w:num w:numId="17">
    <w:abstractNumId w:val="14"/>
  </w:num>
  <w:num w:numId="18">
    <w:abstractNumId w:val="6"/>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F9B"/>
    <w:rsid w:val="00032FE3"/>
    <w:rsid w:val="00033397"/>
    <w:rsid w:val="00040095"/>
    <w:rsid w:val="00046697"/>
    <w:rsid w:val="000549FF"/>
    <w:rsid w:val="00067103"/>
    <w:rsid w:val="00073C9C"/>
    <w:rsid w:val="00080512"/>
    <w:rsid w:val="0008117C"/>
    <w:rsid w:val="00090468"/>
    <w:rsid w:val="00094568"/>
    <w:rsid w:val="000B505A"/>
    <w:rsid w:val="000B7BCF"/>
    <w:rsid w:val="000C522B"/>
    <w:rsid w:val="000D58AB"/>
    <w:rsid w:val="00112F1A"/>
    <w:rsid w:val="00131CDF"/>
    <w:rsid w:val="00137D82"/>
    <w:rsid w:val="00145075"/>
    <w:rsid w:val="00172F81"/>
    <w:rsid w:val="001741A0"/>
    <w:rsid w:val="00175FA0"/>
    <w:rsid w:val="00180250"/>
    <w:rsid w:val="00194CD0"/>
    <w:rsid w:val="001B175C"/>
    <w:rsid w:val="001B1FC8"/>
    <w:rsid w:val="001B49C9"/>
    <w:rsid w:val="001C4F79"/>
    <w:rsid w:val="001C59D1"/>
    <w:rsid w:val="001D1D19"/>
    <w:rsid w:val="001E7306"/>
    <w:rsid w:val="001F10D4"/>
    <w:rsid w:val="001F168B"/>
    <w:rsid w:val="001F7831"/>
    <w:rsid w:val="00204045"/>
    <w:rsid w:val="0020712B"/>
    <w:rsid w:val="0022606D"/>
    <w:rsid w:val="00231728"/>
    <w:rsid w:val="00233D62"/>
    <w:rsid w:val="002610D8"/>
    <w:rsid w:val="002747EC"/>
    <w:rsid w:val="002855BF"/>
    <w:rsid w:val="00297797"/>
    <w:rsid w:val="002D5702"/>
    <w:rsid w:val="002D6B03"/>
    <w:rsid w:val="002F0D22"/>
    <w:rsid w:val="003143D8"/>
    <w:rsid w:val="003172DC"/>
    <w:rsid w:val="00325AE3"/>
    <w:rsid w:val="00326069"/>
    <w:rsid w:val="0035462D"/>
    <w:rsid w:val="00364B41"/>
    <w:rsid w:val="00383096"/>
    <w:rsid w:val="003A0122"/>
    <w:rsid w:val="003A1632"/>
    <w:rsid w:val="003A41EF"/>
    <w:rsid w:val="003A700A"/>
    <w:rsid w:val="003B40AD"/>
    <w:rsid w:val="003C3B89"/>
    <w:rsid w:val="003C4E37"/>
    <w:rsid w:val="003E16BE"/>
    <w:rsid w:val="003F4E28"/>
    <w:rsid w:val="004006E8"/>
    <w:rsid w:val="00400E30"/>
    <w:rsid w:val="00401855"/>
    <w:rsid w:val="004208E9"/>
    <w:rsid w:val="00431893"/>
    <w:rsid w:val="00440C23"/>
    <w:rsid w:val="00443146"/>
    <w:rsid w:val="00465587"/>
    <w:rsid w:val="00472E93"/>
    <w:rsid w:val="00477455"/>
    <w:rsid w:val="004A1F7B"/>
    <w:rsid w:val="004C1AF0"/>
    <w:rsid w:val="004C44D2"/>
    <w:rsid w:val="004D1A23"/>
    <w:rsid w:val="004D3578"/>
    <w:rsid w:val="004D380D"/>
    <w:rsid w:val="004D693F"/>
    <w:rsid w:val="004E213A"/>
    <w:rsid w:val="004F48C5"/>
    <w:rsid w:val="0050186C"/>
    <w:rsid w:val="00503171"/>
    <w:rsid w:val="00506C28"/>
    <w:rsid w:val="00513308"/>
    <w:rsid w:val="005145D5"/>
    <w:rsid w:val="00534DA0"/>
    <w:rsid w:val="00543E6C"/>
    <w:rsid w:val="00550185"/>
    <w:rsid w:val="00565087"/>
    <w:rsid w:val="0056573F"/>
    <w:rsid w:val="005B2566"/>
    <w:rsid w:val="005C2A51"/>
    <w:rsid w:val="005C7A3C"/>
    <w:rsid w:val="0060020E"/>
    <w:rsid w:val="00611566"/>
    <w:rsid w:val="00646D99"/>
    <w:rsid w:val="00656910"/>
    <w:rsid w:val="00681C1D"/>
    <w:rsid w:val="006C66D8"/>
    <w:rsid w:val="006D0946"/>
    <w:rsid w:val="006D1E24"/>
    <w:rsid w:val="006D323D"/>
    <w:rsid w:val="006D4FD8"/>
    <w:rsid w:val="006E1417"/>
    <w:rsid w:val="006F6A2C"/>
    <w:rsid w:val="00710201"/>
    <w:rsid w:val="0072073A"/>
    <w:rsid w:val="007258AF"/>
    <w:rsid w:val="007342B5"/>
    <w:rsid w:val="00734A5B"/>
    <w:rsid w:val="00744E76"/>
    <w:rsid w:val="00757D40"/>
    <w:rsid w:val="00781F0F"/>
    <w:rsid w:val="0078727C"/>
    <w:rsid w:val="0079049D"/>
    <w:rsid w:val="00793DC5"/>
    <w:rsid w:val="00794609"/>
    <w:rsid w:val="00797410"/>
    <w:rsid w:val="007B18D8"/>
    <w:rsid w:val="007C095F"/>
    <w:rsid w:val="007C2DD0"/>
    <w:rsid w:val="007F11F8"/>
    <w:rsid w:val="008028A4"/>
    <w:rsid w:val="00813245"/>
    <w:rsid w:val="00827114"/>
    <w:rsid w:val="00864E5A"/>
    <w:rsid w:val="00866547"/>
    <w:rsid w:val="008768CA"/>
    <w:rsid w:val="00877EF9"/>
    <w:rsid w:val="00880559"/>
    <w:rsid w:val="008A35C7"/>
    <w:rsid w:val="008B5306"/>
    <w:rsid w:val="008D2E4D"/>
    <w:rsid w:val="008F396F"/>
    <w:rsid w:val="0090271F"/>
    <w:rsid w:val="00902DB9"/>
    <w:rsid w:val="0090466A"/>
    <w:rsid w:val="00920B80"/>
    <w:rsid w:val="00936071"/>
    <w:rsid w:val="00940212"/>
    <w:rsid w:val="00942EC2"/>
    <w:rsid w:val="00961B32"/>
    <w:rsid w:val="00962509"/>
    <w:rsid w:val="00970DB3"/>
    <w:rsid w:val="00974BB0"/>
    <w:rsid w:val="009A0AF3"/>
    <w:rsid w:val="009B07CD"/>
    <w:rsid w:val="009C19E9"/>
    <w:rsid w:val="009D0E80"/>
    <w:rsid w:val="009D1B99"/>
    <w:rsid w:val="009D74A6"/>
    <w:rsid w:val="00A066AC"/>
    <w:rsid w:val="00A10F02"/>
    <w:rsid w:val="00A126C6"/>
    <w:rsid w:val="00A204CA"/>
    <w:rsid w:val="00A209D6"/>
    <w:rsid w:val="00A44CE3"/>
    <w:rsid w:val="00A47B17"/>
    <w:rsid w:val="00A53724"/>
    <w:rsid w:val="00A54B2B"/>
    <w:rsid w:val="00A82346"/>
    <w:rsid w:val="00A9671C"/>
    <w:rsid w:val="00AA1553"/>
    <w:rsid w:val="00AB54D8"/>
    <w:rsid w:val="00AC323E"/>
    <w:rsid w:val="00B05380"/>
    <w:rsid w:val="00B05962"/>
    <w:rsid w:val="00B15449"/>
    <w:rsid w:val="00B16C2F"/>
    <w:rsid w:val="00B27303"/>
    <w:rsid w:val="00B47FD1"/>
    <w:rsid w:val="00B516BB"/>
    <w:rsid w:val="00B84DB2"/>
    <w:rsid w:val="00BB589C"/>
    <w:rsid w:val="00BC03D1"/>
    <w:rsid w:val="00BC3555"/>
    <w:rsid w:val="00BE6423"/>
    <w:rsid w:val="00C038F3"/>
    <w:rsid w:val="00C06F97"/>
    <w:rsid w:val="00C12B51"/>
    <w:rsid w:val="00C24650"/>
    <w:rsid w:val="00C25465"/>
    <w:rsid w:val="00C33079"/>
    <w:rsid w:val="00C35BB3"/>
    <w:rsid w:val="00C45F93"/>
    <w:rsid w:val="00C83A13"/>
    <w:rsid w:val="00C9068C"/>
    <w:rsid w:val="00C92967"/>
    <w:rsid w:val="00CA3D0C"/>
    <w:rsid w:val="00CA654B"/>
    <w:rsid w:val="00CB72B8"/>
    <w:rsid w:val="00CD4C7B"/>
    <w:rsid w:val="00CE2E1B"/>
    <w:rsid w:val="00D33BE3"/>
    <w:rsid w:val="00D34039"/>
    <w:rsid w:val="00D3792D"/>
    <w:rsid w:val="00D55E47"/>
    <w:rsid w:val="00D62E19"/>
    <w:rsid w:val="00D64BBF"/>
    <w:rsid w:val="00D67CD1"/>
    <w:rsid w:val="00D738D6"/>
    <w:rsid w:val="00D80795"/>
    <w:rsid w:val="00D854BE"/>
    <w:rsid w:val="00D87E00"/>
    <w:rsid w:val="00D9134D"/>
    <w:rsid w:val="00D96D11"/>
    <w:rsid w:val="00D976A0"/>
    <w:rsid w:val="00DA7A03"/>
    <w:rsid w:val="00DB0DB8"/>
    <w:rsid w:val="00DB1818"/>
    <w:rsid w:val="00DB3559"/>
    <w:rsid w:val="00DC309B"/>
    <w:rsid w:val="00DC4DA2"/>
    <w:rsid w:val="00E11B5A"/>
    <w:rsid w:val="00E1349A"/>
    <w:rsid w:val="00E46A1B"/>
    <w:rsid w:val="00E46C08"/>
    <w:rsid w:val="00E471CF"/>
    <w:rsid w:val="00E62835"/>
    <w:rsid w:val="00E73D71"/>
    <w:rsid w:val="00E77645"/>
    <w:rsid w:val="00E83697"/>
    <w:rsid w:val="00E94F12"/>
    <w:rsid w:val="00EA66C9"/>
    <w:rsid w:val="00EC2EAE"/>
    <w:rsid w:val="00EC4A25"/>
    <w:rsid w:val="00ED3A28"/>
    <w:rsid w:val="00F024EE"/>
    <w:rsid w:val="00F025A2"/>
    <w:rsid w:val="00F07388"/>
    <w:rsid w:val="00F2026E"/>
    <w:rsid w:val="00F2210A"/>
    <w:rsid w:val="00F37743"/>
    <w:rsid w:val="00F54A3D"/>
    <w:rsid w:val="00F54CB0"/>
    <w:rsid w:val="00F57CC0"/>
    <w:rsid w:val="00F653B8"/>
    <w:rsid w:val="00F71B89"/>
    <w:rsid w:val="00F7353C"/>
    <w:rsid w:val="00F76F8F"/>
    <w:rsid w:val="00F941DF"/>
    <w:rsid w:val="00FA1266"/>
    <w:rsid w:val="00FA21BB"/>
    <w:rsid w:val="00FA5F83"/>
    <w:rsid w:val="00FB36FA"/>
    <w:rsid w:val="00FC1192"/>
    <w:rsid w:val="00FE251B"/>
    <w:rsid w:val="00FE46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3A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632"/>
    <w:pPr>
      <w:ind w:left="720"/>
      <w:contextualSpacing/>
    </w:pPr>
  </w:style>
  <w:style w:type="character" w:customStyle="1" w:styleId="Heading2Char">
    <w:name w:val="Heading 2 Char"/>
    <w:basedOn w:val="DefaultParagraphFont"/>
    <w:link w:val="Heading2"/>
    <w:rsid w:val="003A1632"/>
    <w:rPr>
      <w:rFonts w:ascii="Arial" w:hAnsi="Arial"/>
      <w:sz w:val="32"/>
      <w:lang w:eastAsia="en-US"/>
    </w:rPr>
  </w:style>
  <w:style w:type="character" w:styleId="CommentReference">
    <w:name w:val="annotation reference"/>
    <w:basedOn w:val="DefaultParagraphFont"/>
    <w:rsid w:val="002D5702"/>
    <w:rPr>
      <w:sz w:val="16"/>
      <w:szCs w:val="16"/>
    </w:rPr>
  </w:style>
  <w:style w:type="paragraph" w:styleId="CommentText">
    <w:name w:val="annotation text"/>
    <w:basedOn w:val="Normal"/>
    <w:link w:val="CommentTextChar"/>
    <w:rsid w:val="002D5702"/>
  </w:style>
  <w:style w:type="character" w:customStyle="1" w:styleId="CommentTextChar">
    <w:name w:val="Comment Text Char"/>
    <w:basedOn w:val="DefaultParagraphFont"/>
    <w:link w:val="CommentText"/>
    <w:rsid w:val="002D5702"/>
    <w:rPr>
      <w:lang w:eastAsia="en-US"/>
    </w:rPr>
  </w:style>
  <w:style w:type="paragraph" w:styleId="CommentSubject">
    <w:name w:val="annotation subject"/>
    <w:basedOn w:val="CommentText"/>
    <w:next w:val="CommentText"/>
    <w:link w:val="CommentSubjectChar"/>
    <w:rsid w:val="002D5702"/>
    <w:rPr>
      <w:b/>
      <w:bCs/>
    </w:rPr>
  </w:style>
  <w:style w:type="character" w:customStyle="1" w:styleId="CommentSubjectChar">
    <w:name w:val="Comment Subject Char"/>
    <w:basedOn w:val="CommentTextChar"/>
    <w:link w:val="CommentSubject"/>
    <w:rsid w:val="002D5702"/>
    <w:rPr>
      <w:b/>
      <w:bCs/>
      <w:lang w:eastAsia="en-US"/>
    </w:rPr>
  </w:style>
  <w:style w:type="character" w:customStyle="1" w:styleId="Heading1Char">
    <w:name w:val="Heading 1 Char"/>
    <w:basedOn w:val="DefaultParagraphFont"/>
    <w:link w:val="Heading1"/>
    <w:rsid w:val="00137D8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798435">
      <w:bodyDiv w:val="1"/>
      <w:marLeft w:val="0"/>
      <w:marRight w:val="0"/>
      <w:marTop w:val="0"/>
      <w:marBottom w:val="0"/>
      <w:divBdr>
        <w:top w:val="none" w:sz="0" w:space="0" w:color="auto"/>
        <w:left w:val="none" w:sz="0" w:space="0" w:color="auto"/>
        <w:bottom w:val="none" w:sz="0" w:space="0" w:color="auto"/>
        <w:right w:val="none" w:sz="0" w:space="0" w:color="auto"/>
      </w:divBdr>
    </w:div>
    <w:div w:id="540214286">
      <w:bodyDiv w:val="1"/>
      <w:marLeft w:val="0"/>
      <w:marRight w:val="0"/>
      <w:marTop w:val="0"/>
      <w:marBottom w:val="0"/>
      <w:divBdr>
        <w:top w:val="none" w:sz="0" w:space="0" w:color="auto"/>
        <w:left w:val="none" w:sz="0" w:space="0" w:color="auto"/>
        <w:bottom w:val="none" w:sz="0" w:space="0" w:color="auto"/>
        <w:right w:val="none" w:sz="0" w:space="0" w:color="auto"/>
      </w:divBdr>
      <w:divsChild>
        <w:div w:id="1520654670">
          <w:marLeft w:val="274"/>
          <w:marRight w:val="0"/>
          <w:marTop w:val="0"/>
          <w:marBottom w:val="0"/>
          <w:divBdr>
            <w:top w:val="none" w:sz="0" w:space="0" w:color="auto"/>
            <w:left w:val="none" w:sz="0" w:space="0" w:color="auto"/>
            <w:bottom w:val="none" w:sz="0" w:space="0" w:color="auto"/>
            <w:right w:val="none" w:sz="0" w:space="0" w:color="auto"/>
          </w:divBdr>
        </w:div>
        <w:div w:id="1808667270">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5AIRPNAIUNRU-859666464-5149</_dlc_DocId>
    <_dlc_DocIdUrl xmlns="71c5aaf6-e6ce-465b-b873-5148d2a4c105">
      <Url>https://nokia.sharepoint.com/sites/c5g/e2earch/_layouts/15/DocIdRedir.aspx?ID=5AIRPNAIUNRU-859666464-5149</Url>
      <Description>5AIRPNAIUNRU-859666464-5149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a3840f4f-04be-43d1-b2ef-6ff1382503c7"/>
    <ds:schemaRef ds:uri="http://www.w3.org/XML/1998/namespac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83f22d2f-d16e-4be6-ad4f-29fa0b067c3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3</Pages>
  <Words>1515</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16</cp:revision>
  <dcterms:created xsi:type="dcterms:W3CDTF">2019-05-02T06:38:00Z</dcterms:created>
  <dcterms:modified xsi:type="dcterms:W3CDTF">2019-05-02T21:17:00Z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e4fa38a9-d943-4a83-a922-2fdf076c7b38</vt:lpwstr>
  </property>
</Properties>
</file>